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09F59" w14:textId="77777777" w:rsidR="000677F9" w:rsidRPr="00AD6716" w:rsidRDefault="000677F9" w:rsidP="00067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GB"/>
        </w:rPr>
      </w:pPr>
    </w:p>
    <w:p w14:paraId="709E0FA4" w14:textId="77777777" w:rsidR="000677F9" w:rsidRPr="00555271" w:rsidRDefault="000677F9" w:rsidP="000677F9">
      <w:pPr>
        <w:pStyle w:val="Antrat6"/>
        <w:spacing w:before="0" w:after="0"/>
        <w:jc w:val="center"/>
        <w:rPr>
          <w:sz w:val="24"/>
          <w:szCs w:val="24"/>
        </w:rPr>
      </w:pPr>
      <w:r w:rsidRPr="00555271">
        <w:rPr>
          <w:sz w:val="24"/>
          <w:szCs w:val="24"/>
        </w:rPr>
        <w:t>SAVIVALDYBĖS TURTO NUOMOS SUTARTIS</w:t>
      </w:r>
    </w:p>
    <w:p w14:paraId="7ACAFF96" w14:textId="2FF694E5" w:rsidR="000677F9" w:rsidRPr="00555271" w:rsidRDefault="000677F9" w:rsidP="000677F9">
      <w:pPr>
        <w:spacing w:before="100" w:beforeAutospacing="1" w:after="100" w:afterAutospacing="1"/>
        <w:jc w:val="center"/>
      </w:pPr>
      <w:r w:rsidRPr="00555271">
        <w:t>20</w:t>
      </w:r>
      <w:r w:rsidR="00532166">
        <w:t>2</w:t>
      </w:r>
      <w:r w:rsidR="00931C3E">
        <w:t>5</w:t>
      </w:r>
      <w:r w:rsidRPr="00555271">
        <w:t xml:space="preserve"> m</w:t>
      </w:r>
      <w:r>
        <w:t>.</w:t>
      </w:r>
      <w:r w:rsidR="00532166">
        <w:t xml:space="preserve"> </w:t>
      </w:r>
      <w:r w:rsidR="00931C3E">
        <w:t>sausio ___</w:t>
      </w:r>
      <w:r>
        <w:t xml:space="preserve"> </w:t>
      </w:r>
      <w:r w:rsidRPr="00555271">
        <w:t>d. Nr. E36-</w:t>
      </w:r>
      <w:r>
        <w:t>___</w:t>
      </w:r>
    </w:p>
    <w:p w14:paraId="58BC04D1" w14:textId="77777777" w:rsidR="000677F9" w:rsidRPr="00555271" w:rsidRDefault="000677F9" w:rsidP="000677F9">
      <w:pPr>
        <w:ind w:firstLine="720"/>
        <w:jc w:val="center"/>
      </w:pPr>
      <w:r w:rsidRPr="00555271">
        <w:t>Biržai</w:t>
      </w:r>
    </w:p>
    <w:p w14:paraId="4011B259" w14:textId="77777777" w:rsidR="000677F9" w:rsidRPr="00555271" w:rsidRDefault="000677F9" w:rsidP="000677F9">
      <w:pPr>
        <w:ind w:firstLine="720"/>
        <w:jc w:val="center"/>
      </w:pPr>
    </w:p>
    <w:p w14:paraId="01F3D3CE" w14:textId="097FEACF" w:rsidR="000677F9" w:rsidRDefault="000677F9" w:rsidP="000677F9">
      <w:pPr>
        <w:ind w:firstLine="720"/>
        <w:jc w:val="both"/>
      </w:pPr>
      <w:bookmarkStart w:id="0" w:name="_Hlk163630109"/>
      <w:r w:rsidRPr="00555271">
        <w:t>Nuomotojas – Biržų rajono savivaldybės administracija (kodas 188642660, adresas: Vytauto</w:t>
      </w:r>
      <w:r>
        <w:t> </w:t>
      </w:r>
      <w:r w:rsidRPr="00555271">
        <w:t>g. 38, 41143 Biržai), atstovaujama pagal Biržų rajono savivaldybės administracijos nuostatus A</w:t>
      </w:r>
      <w:r>
        <w:t xml:space="preserve">dministracijos direktorės Jurgos Bagamolovienės </w:t>
      </w:r>
      <w:r w:rsidRPr="00555271">
        <w:t>ir nuomininkas –</w:t>
      </w:r>
      <w:r w:rsidR="00532166">
        <w:t xml:space="preserve"> </w:t>
      </w:r>
      <w:r w:rsidR="00931C3E">
        <w:t>.......................................</w:t>
      </w:r>
      <w:r w:rsidR="00532166">
        <w:t xml:space="preserve"> (kodas </w:t>
      </w:r>
      <w:r w:rsidR="00931C3E">
        <w:t>...................</w:t>
      </w:r>
      <w:r w:rsidR="00532166">
        <w:t xml:space="preserve">, adresas: </w:t>
      </w:r>
      <w:r w:rsidR="00931C3E">
        <w:t>...........................</w:t>
      </w:r>
      <w:r w:rsidR="00532166">
        <w:t>)</w:t>
      </w:r>
      <w:r w:rsidRPr="00555271">
        <w:t xml:space="preserve">, </w:t>
      </w:r>
      <w:r w:rsidR="00931C3E">
        <w:t>........................................</w:t>
      </w:r>
      <w:r w:rsidRPr="00555271">
        <w:t>,</w:t>
      </w:r>
      <w:r>
        <w:t xml:space="preserve"> </w:t>
      </w:r>
      <w:r w:rsidRPr="00555271">
        <w:t>remdamiesi viešo nuomos konkurso, įvykusio 20</w:t>
      </w:r>
      <w:r w:rsidR="00532166">
        <w:t>2</w:t>
      </w:r>
      <w:r w:rsidR="00931C3E">
        <w:t>5</w:t>
      </w:r>
      <w:r>
        <w:t xml:space="preserve"> </w:t>
      </w:r>
      <w:r w:rsidRPr="00555271">
        <w:t>m.</w:t>
      </w:r>
      <w:r w:rsidR="00532166">
        <w:t xml:space="preserve"> </w:t>
      </w:r>
      <w:r w:rsidR="00931C3E">
        <w:t>sausio 6</w:t>
      </w:r>
      <w:r>
        <w:t xml:space="preserve"> d.</w:t>
      </w:r>
      <w:r w:rsidRPr="00555271">
        <w:t xml:space="preserve">, komisijos sprendimu, </w:t>
      </w:r>
      <w:bookmarkEnd w:id="0"/>
      <w:r w:rsidRPr="00620C8E">
        <w:t>sudar</w:t>
      </w:r>
      <w:r>
        <w:t>o</w:t>
      </w:r>
      <w:r w:rsidRPr="00620C8E">
        <w:t xml:space="preserve"> šią </w:t>
      </w:r>
      <w:r>
        <w:t xml:space="preserve">Savivaldybės turto nuomos sutartį </w:t>
      </w:r>
      <w:r w:rsidRPr="000817F0">
        <w:t>(toliau – Sutartis). Toliau Sutartyje nuomotojas ir nuomininkas kiekvienas atskirai gali būti vadinami šalimi, o abu kartu – šalimis.</w:t>
      </w:r>
    </w:p>
    <w:p w14:paraId="021146A7" w14:textId="77777777" w:rsidR="000677F9" w:rsidRDefault="000677F9" w:rsidP="000677F9">
      <w:pPr>
        <w:ind w:firstLine="720"/>
        <w:jc w:val="both"/>
      </w:pPr>
    </w:p>
    <w:p w14:paraId="6BD02CB7" w14:textId="77777777" w:rsidR="000677F9" w:rsidRPr="000817F0" w:rsidRDefault="000677F9" w:rsidP="000677F9">
      <w:pPr>
        <w:jc w:val="center"/>
      </w:pPr>
      <w:r w:rsidRPr="000817F0">
        <w:rPr>
          <w:b/>
          <w:bCs/>
        </w:rPr>
        <w:t>I. SUTARTIES DALYKAS</w:t>
      </w:r>
    </w:p>
    <w:p w14:paraId="2C505439" w14:textId="77777777" w:rsidR="000677F9" w:rsidRPr="00B6763C" w:rsidRDefault="000677F9" w:rsidP="000677F9">
      <w:pPr>
        <w:ind w:firstLine="720"/>
        <w:jc w:val="both"/>
      </w:pPr>
    </w:p>
    <w:p w14:paraId="20BBE8B3" w14:textId="39BE77E3" w:rsidR="000677F9" w:rsidRPr="00B6763C" w:rsidRDefault="000677F9" w:rsidP="000677F9">
      <w:pPr>
        <w:ind w:firstLine="720"/>
        <w:jc w:val="both"/>
      </w:pPr>
      <w:r w:rsidRPr="00B6763C">
        <w:t xml:space="preserve">1.1. Nuomotojas įsipareigoja perduoti nuomininkui materialųjį turtą (toliau vadinama – turtas): </w:t>
      </w:r>
      <w:r w:rsidR="00931C3E" w:rsidRPr="00931C3E">
        <w:t>Biržų rajono savivaldybės administracijos patikėjimo teise valdomo administracinio pastato (unikalus Nr. 3697-7005-5010) Biržuose, Vytauto g. 59, 26,15 kv. m pirmo aukšto patalpos (nekilnojamojo turto kadastro duomenų byloje patalpos pažymėtos Nr.: 81 (20,85 kv. m kabinetas), 1 (0,17 kv. m iš 6,01 kv. m tambūro), 2 (0,48 kv. m iš 17,16 kv. m holo), 3 (1,00 kv. m iš 36,05 kv. m holo), 24 (2,99 kv. m iš 37,65 kv. m koridoriaus), 13 (0,19 kv. m iš 2,43 kv. m. koridoriaus), 14 (0,23 kv. m iš 2,84 kv. m koridoriaus), 15 (0,06 kv. m iš 0,76 kv. m tualeto), 16 (0,08 kv. m iš 0,99 kv. m tualeto), 17 (0,10 kv. m iš 1,29 kv. m tualeto)) (toliau – Patalpos)</w:t>
      </w:r>
      <w:r w:rsidR="000E538A">
        <w:t xml:space="preserve"> </w:t>
      </w:r>
      <w:r w:rsidR="009216D9" w:rsidRPr="00C349FC">
        <w:t xml:space="preserve">(inventorinis Nr. </w:t>
      </w:r>
      <w:r w:rsidR="000E538A">
        <w:t>01201258C, į</w:t>
      </w:r>
      <w:r w:rsidR="00931C3E">
        <w:t xml:space="preserve">sigijimo vertė – </w:t>
      </w:r>
      <w:r w:rsidR="000E538A">
        <w:t xml:space="preserve">1166,27 </w:t>
      </w:r>
      <w:r w:rsidR="00931C3E">
        <w:t xml:space="preserve">Eur, nusidėvėjimas 2024 m. gruodžio 31 d.  – </w:t>
      </w:r>
      <w:r w:rsidR="000E538A">
        <w:t xml:space="preserve">1096,86 </w:t>
      </w:r>
      <w:r w:rsidR="00931C3E">
        <w:t xml:space="preserve">Eur, likutinė vertė – </w:t>
      </w:r>
      <w:r w:rsidR="000E538A">
        <w:t xml:space="preserve">69,41 </w:t>
      </w:r>
      <w:r w:rsidR="00C349FC" w:rsidRPr="00C349FC">
        <w:t>Eur</w:t>
      </w:r>
      <w:r w:rsidR="009216D9" w:rsidRPr="00C349FC">
        <w:t xml:space="preserve">), </w:t>
      </w:r>
      <w:r w:rsidRPr="00C349FC">
        <w:t>už nuomos mokestį, o nuomininkas įsipareigoja priimti turtą ir už jį mokėti nuomos mokestį.</w:t>
      </w:r>
      <w:r w:rsidRPr="00B6763C">
        <w:t xml:space="preserve"> </w:t>
      </w:r>
    </w:p>
    <w:p w14:paraId="63DAD445" w14:textId="62C78D86" w:rsidR="000677F9" w:rsidRPr="007C4156" w:rsidRDefault="000677F9" w:rsidP="000677F9">
      <w:pPr>
        <w:ind w:firstLine="720"/>
        <w:jc w:val="both"/>
        <w:rPr>
          <w:color w:val="000000"/>
        </w:rPr>
      </w:pPr>
      <w:bookmarkStart w:id="1" w:name="part_fd66d013cf3a4e91ba56ef705a88530f"/>
      <w:bookmarkEnd w:id="1"/>
      <w:r w:rsidRPr="007C4156">
        <w:t>1.2.</w:t>
      </w:r>
      <w:r>
        <w:t xml:space="preserve"> </w:t>
      </w:r>
      <w:r w:rsidRPr="007C4156">
        <w:rPr>
          <w:color w:val="000000"/>
        </w:rPr>
        <w:t xml:space="preserve">Nuomininko vykdoma veikla </w:t>
      </w:r>
      <w:r w:rsidR="00CD525B">
        <w:rPr>
          <w:color w:val="000000"/>
        </w:rPr>
        <w:t xml:space="preserve"> – </w:t>
      </w:r>
      <w:r w:rsidR="00CD525B" w:rsidRPr="00CD525B">
        <w:rPr>
          <w:color w:val="000000"/>
        </w:rPr>
        <w:t>viešųjų paslaugų tvarkant valstybės registrus ir informacines sistemas teikim</w:t>
      </w:r>
      <w:r w:rsidR="00CD525B">
        <w:rPr>
          <w:color w:val="000000"/>
        </w:rPr>
        <w:t>as</w:t>
      </w:r>
      <w:r w:rsidR="00CD525B" w:rsidRPr="00CD525B">
        <w:rPr>
          <w:color w:val="000000"/>
        </w:rPr>
        <w:t>.</w:t>
      </w:r>
    </w:p>
    <w:p w14:paraId="5D0E5293" w14:textId="31DB83F3" w:rsidR="000677F9" w:rsidRPr="007C4156" w:rsidRDefault="000677F9" w:rsidP="000677F9">
      <w:pPr>
        <w:ind w:firstLine="720"/>
        <w:jc w:val="both"/>
        <w:rPr>
          <w:color w:val="000000"/>
        </w:rPr>
      </w:pPr>
      <w:r w:rsidRPr="007C4156">
        <w:rPr>
          <w:color w:val="000000"/>
        </w:rPr>
        <w:t xml:space="preserve">1.3. </w:t>
      </w:r>
      <w:r>
        <w:rPr>
          <w:color w:val="000000"/>
        </w:rPr>
        <w:t xml:space="preserve">Nuomininkas </w:t>
      </w:r>
      <w:r w:rsidRPr="007664EF">
        <w:rPr>
          <w:color w:val="000000"/>
        </w:rPr>
        <w:t xml:space="preserve"> savo lėšomis </w:t>
      </w:r>
      <w:r>
        <w:rPr>
          <w:color w:val="000000"/>
        </w:rPr>
        <w:t xml:space="preserve">privalo atlikti </w:t>
      </w:r>
      <w:r w:rsidRPr="00EA6BD3">
        <w:rPr>
          <w:color w:val="000000"/>
        </w:rPr>
        <w:t>patalpų einamąjį remontą ir esant reikalui kapitalinį remontą</w:t>
      </w:r>
      <w:r w:rsidR="00931C3E">
        <w:rPr>
          <w:color w:val="000000"/>
        </w:rPr>
        <w:t xml:space="preserve">, </w:t>
      </w:r>
      <w:r w:rsidR="00931C3E" w:rsidRPr="00931C3E">
        <w:rPr>
          <w:color w:val="000000"/>
        </w:rPr>
        <w:t xml:space="preserve"> jeigu jo veiklai vykdyti jis reikalingas.</w:t>
      </w:r>
    </w:p>
    <w:p w14:paraId="0982C6BE" w14:textId="643926B7" w:rsidR="000677F9" w:rsidRPr="007C4156" w:rsidRDefault="00532166" w:rsidP="00532166">
      <w:pPr>
        <w:pStyle w:val="prastasiniatinklio"/>
        <w:spacing w:before="0" w:beforeAutospacing="0" w:after="0" w:afterAutospacing="0"/>
        <w:jc w:val="both"/>
        <w:rPr>
          <w:color w:val="000000"/>
        </w:rPr>
      </w:pPr>
      <w:r>
        <w:rPr>
          <w:color w:val="000000"/>
        </w:rPr>
        <w:tab/>
      </w:r>
      <w:r w:rsidR="000677F9" w:rsidRPr="007C4156">
        <w:rPr>
          <w:color w:val="000000"/>
        </w:rPr>
        <w:t>1.</w:t>
      </w:r>
      <w:r w:rsidR="000677F9">
        <w:rPr>
          <w:color w:val="000000"/>
        </w:rPr>
        <w:t>4</w:t>
      </w:r>
      <w:r w:rsidR="000677F9" w:rsidRPr="007C4156">
        <w:rPr>
          <w:color w:val="000000"/>
        </w:rPr>
        <w:t>. Patalpų remonto metu nuomininkas negalės būti atleidžiamas nuo nuompinigių mokėjimo.</w:t>
      </w:r>
    </w:p>
    <w:p w14:paraId="790F2BBB" w14:textId="77777777" w:rsidR="000677F9" w:rsidRPr="00555271" w:rsidRDefault="000677F9" w:rsidP="000677F9">
      <w:pPr>
        <w:pStyle w:val="prastasiniatinklio"/>
        <w:spacing w:before="0" w:beforeAutospacing="0" w:after="0" w:afterAutospacing="0"/>
        <w:jc w:val="both"/>
      </w:pPr>
      <w:r w:rsidRPr="007C4156">
        <w:rPr>
          <w:color w:val="000000"/>
        </w:rPr>
        <w:tab/>
      </w:r>
    </w:p>
    <w:p w14:paraId="560D946D" w14:textId="77777777" w:rsidR="000677F9" w:rsidRPr="00555271" w:rsidRDefault="000677F9" w:rsidP="000677F9">
      <w:pPr>
        <w:jc w:val="center"/>
      </w:pPr>
      <w:r w:rsidRPr="00555271">
        <w:rPr>
          <w:b/>
          <w:bCs/>
        </w:rPr>
        <w:t xml:space="preserve">II. NUOMOS TERMINAS </w:t>
      </w:r>
    </w:p>
    <w:p w14:paraId="6203FE39" w14:textId="77777777" w:rsidR="000677F9" w:rsidRPr="00555271" w:rsidRDefault="000677F9" w:rsidP="000677F9">
      <w:pPr>
        <w:jc w:val="center"/>
      </w:pPr>
      <w:r w:rsidRPr="00555271">
        <w:rPr>
          <w:b/>
          <w:bCs/>
        </w:rPr>
        <w:t> </w:t>
      </w:r>
    </w:p>
    <w:p w14:paraId="4E3CCEBC" w14:textId="21C72474" w:rsidR="000677F9" w:rsidRPr="00555271" w:rsidRDefault="000677F9" w:rsidP="000677F9">
      <w:pPr>
        <w:ind w:firstLine="720"/>
        <w:jc w:val="both"/>
      </w:pPr>
      <w:bookmarkStart w:id="2" w:name="part_9039109baf1a4d74b613b98706e796bc"/>
      <w:bookmarkEnd w:id="2"/>
      <w:r w:rsidRPr="00555271">
        <w:t xml:space="preserve">2.1. Turto nuomos terminas nustatomas </w:t>
      </w:r>
      <w:r w:rsidR="00931C3E">
        <w:t xml:space="preserve">10 </w:t>
      </w:r>
      <w:r w:rsidRPr="00555271">
        <w:t>(</w:t>
      </w:r>
      <w:r w:rsidR="00931C3E">
        <w:t>dešimt</w:t>
      </w:r>
      <w:r w:rsidRPr="00555271">
        <w:t>) met</w:t>
      </w:r>
      <w:r w:rsidR="00931C3E">
        <w:t>ų</w:t>
      </w:r>
      <w:r w:rsidRPr="00555271">
        <w:t xml:space="preserve"> nuo turto perdavimo ir priėmimo akto pasirašymo dienos. </w:t>
      </w:r>
    </w:p>
    <w:p w14:paraId="0DD3F012" w14:textId="77777777" w:rsidR="000677F9" w:rsidRPr="00555271" w:rsidRDefault="000677F9" w:rsidP="000677F9">
      <w:pPr>
        <w:jc w:val="center"/>
      </w:pPr>
      <w:r w:rsidRPr="00555271">
        <w:rPr>
          <w:b/>
          <w:bCs/>
        </w:rPr>
        <w:t> </w:t>
      </w:r>
    </w:p>
    <w:p w14:paraId="16AD99FD" w14:textId="77777777" w:rsidR="000677F9" w:rsidRDefault="000677F9" w:rsidP="000677F9">
      <w:pPr>
        <w:keepNext/>
        <w:tabs>
          <w:tab w:val="num" w:pos="1080"/>
        </w:tabs>
        <w:jc w:val="center"/>
        <w:rPr>
          <w:b/>
        </w:rPr>
      </w:pPr>
      <w:bookmarkStart w:id="3" w:name="part_d4bc899a8dec43dbbb92c314a793d502"/>
      <w:bookmarkEnd w:id="3"/>
      <w:r>
        <w:rPr>
          <w:b/>
        </w:rPr>
        <w:t>III. NUOMOS MOKESTIS</w:t>
      </w:r>
    </w:p>
    <w:p w14:paraId="1CF94246" w14:textId="77777777" w:rsidR="000677F9" w:rsidRDefault="000677F9" w:rsidP="000677F9">
      <w:pPr>
        <w:keepNext/>
        <w:jc w:val="center"/>
        <w:rPr>
          <w:rFonts w:eastAsia="Arial Unicode MS"/>
        </w:rPr>
      </w:pPr>
    </w:p>
    <w:p w14:paraId="68DCE46C" w14:textId="6920DFB1" w:rsidR="000677F9" w:rsidRDefault="000677F9" w:rsidP="00532166">
      <w:pPr>
        <w:keepNext/>
        <w:ind w:firstLine="720"/>
        <w:rPr>
          <w:rFonts w:eastAsia="Arial Unicode MS"/>
          <w:i/>
        </w:rPr>
      </w:pPr>
      <w:r>
        <w:rPr>
          <w:rFonts w:eastAsia="Arial Unicode MS"/>
        </w:rPr>
        <w:t>3.1. Nuomininkas už turto nuomą įsipareigoja mokėti nuomotojui nuompinigius –</w:t>
      </w:r>
      <w:r w:rsidR="00532166">
        <w:rPr>
          <w:rFonts w:eastAsia="Arial Unicode MS"/>
        </w:rPr>
        <w:t xml:space="preserve"> </w:t>
      </w:r>
      <w:r w:rsidR="00931C3E">
        <w:rPr>
          <w:rFonts w:eastAsia="Arial Unicode MS"/>
        </w:rPr>
        <w:t>................</w:t>
      </w:r>
      <w:r w:rsidR="00532166">
        <w:rPr>
          <w:rFonts w:eastAsia="Arial Unicode MS"/>
        </w:rPr>
        <w:t xml:space="preserve"> Eur (</w:t>
      </w:r>
      <w:r w:rsidR="00931C3E" w:rsidRPr="00931C3E">
        <w:rPr>
          <w:rFonts w:eastAsia="Arial Unicode MS"/>
          <w:i/>
          <w:iCs/>
        </w:rPr>
        <w:t>suma žodžiais</w:t>
      </w:r>
      <w:r w:rsidR="00532166">
        <w:rPr>
          <w:rFonts w:eastAsia="Arial Unicode MS"/>
        </w:rPr>
        <w:t xml:space="preserve">) </w:t>
      </w:r>
      <w:r>
        <w:rPr>
          <w:rFonts w:eastAsia="Arial Unicode MS"/>
        </w:rPr>
        <w:t>per mėnesį.</w:t>
      </w:r>
    </w:p>
    <w:p w14:paraId="44AF7A1E" w14:textId="7367AEFA" w:rsidR="000677F9" w:rsidRDefault="000677F9" w:rsidP="000677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3.2. Nuomininkas, be nuompinigių, kas mėnesį apmoka sąskaitas už šaltą ir karštą vandenį, elektros energiją, šilumos energiją ir komunalines paslaugas (šiukšlių išvežimą, bendro naudojimo patalpų ir teritorijos valymą</w:t>
      </w:r>
      <w:r w:rsidR="00931C3E">
        <w:t xml:space="preserve"> </w:t>
      </w:r>
      <w:r w:rsidR="00931C3E" w:rsidRPr="00931C3E">
        <w:t>bei kitus tiesioginius ir netiesioginius mokesčius, susijusius su patalpų naudojimu) proporcingai nuomojamam patalpų plotui</w:t>
      </w:r>
      <w:r>
        <w:t xml:space="preserve">. </w:t>
      </w:r>
    </w:p>
    <w:p w14:paraId="1AEC9A1B" w14:textId="4C772C97" w:rsidR="000677F9" w:rsidRDefault="000677F9" w:rsidP="000677F9">
      <w:pPr>
        <w:tabs>
          <w:tab w:val="num" w:pos="1080"/>
        </w:tabs>
        <w:ind w:firstLine="720"/>
        <w:jc w:val="both"/>
      </w:pPr>
      <w:r>
        <w:t>3.3.</w:t>
      </w:r>
      <w:r>
        <w:rPr>
          <w:rFonts w:eastAsia="Arial Unicode MS"/>
        </w:rPr>
        <w:t xml:space="preserve"> Nuomininkas moka nuompinigius kas mėnesį, prieš prasidedant mėnesiui, bet ne vėliau kaip iki einamojo mėnesio 10 (dešimtos) dienos (</w:t>
      </w:r>
      <w:r>
        <w:t>jeigu tai ne darbo diena</w:t>
      </w:r>
      <w:r w:rsidR="00C349FC">
        <w:t xml:space="preserve"> </w:t>
      </w:r>
      <w:r>
        <w:t xml:space="preserve"> – iki kitos po jos einančios darbo dienos) </w:t>
      </w:r>
      <w:r>
        <w:rPr>
          <w:rFonts w:eastAsia="Arial Unicode MS"/>
        </w:rPr>
        <w:t xml:space="preserve">pagal </w:t>
      </w:r>
      <w:r>
        <w:rPr>
          <w:rFonts w:eastAsia="Arial Unicode MS"/>
          <w:color w:val="000000"/>
        </w:rPr>
        <w:t>nuomotojo pateiktą sąskaitą</w:t>
      </w:r>
      <w:r>
        <w:rPr>
          <w:rFonts w:eastAsia="Arial Unicode MS"/>
        </w:rPr>
        <w:t>.</w:t>
      </w:r>
    </w:p>
    <w:p w14:paraId="01E0C30C" w14:textId="77777777" w:rsidR="000677F9" w:rsidRDefault="000677F9" w:rsidP="000677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Cs/>
        </w:rPr>
        <w:lastRenderedPageBreak/>
        <w:t>3.4. Nuomininkas nuomotojo ir (arba) paslaugų teikėjų pateiktas sąskaitas už Sutarties 3.2 papunktyje nurodytas paslaugas apmoka per 5 darbo dienas nuo sąskaitų gavimo arba pagal atskirą susitarimą.</w:t>
      </w:r>
      <w:r>
        <w:t xml:space="preserve"> </w:t>
      </w:r>
    </w:p>
    <w:p w14:paraId="26A7508B" w14:textId="77777777" w:rsidR="000677F9" w:rsidRDefault="000677F9" w:rsidP="000677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Cs/>
        </w:rPr>
        <w:t>3.5. Nuompinigiai ir mokėjimai už Sutarties 3.2 papunktyje nurodytas paslaugas pradedami skaičiuoti nuo turto perdavimo ir priėmimo akto pasirašymo dienos.</w:t>
      </w:r>
      <w:r>
        <w:t xml:space="preserve"> </w:t>
      </w:r>
    </w:p>
    <w:p w14:paraId="7BC9AC47" w14:textId="77777777" w:rsidR="000677F9" w:rsidRDefault="000677F9" w:rsidP="000677F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14:paraId="02E31117" w14:textId="77777777" w:rsidR="000677F9" w:rsidRDefault="000677F9" w:rsidP="000677F9">
      <w:pPr>
        <w:jc w:val="center"/>
        <w:rPr>
          <w:b/>
        </w:rPr>
      </w:pPr>
      <w:r>
        <w:rPr>
          <w:b/>
        </w:rPr>
        <w:t>IV. ŠALIŲ TEISĖS IR PAREIGOS</w:t>
      </w:r>
    </w:p>
    <w:p w14:paraId="5C13450B" w14:textId="77777777" w:rsidR="000677F9" w:rsidRDefault="000677F9" w:rsidP="000677F9">
      <w:pPr>
        <w:jc w:val="center"/>
        <w:rPr>
          <w:b/>
        </w:rPr>
      </w:pPr>
    </w:p>
    <w:p w14:paraId="6A4C9ED9" w14:textId="77777777" w:rsidR="000677F9" w:rsidRDefault="000677F9" w:rsidP="000677F9">
      <w:pPr>
        <w:ind w:firstLine="720"/>
        <w:jc w:val="both"/>
      </w:pPr>
      <w:r>
        <w:t>4.1. Nuomotojas įsipareigoja:</w:t>
      </w:r>
    </w:p>
    <w:p w14:paraId="4A64D221" w14:textId="2DE4E490" w:rsidR="000677F9" w:rsidRDefault="000677F9" w:rsidP="0053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Cs/>
        </w:rPr>
        <w:t xml:space="preserve">4.1.1. </w:t>
      </w:r>
      <w:r>
        <w:t xml:space="preserve">per </w:t>
      </w:r>
      <w:r w:rsidR="00532166">
        <w:t xml:space="preserve">3 darbo dienas </w:t>
      </w:r>
      <w:r>
        <w:t>nuo Sutarties pasirašymo perduoti nuomininkui Sutarties 1.1</w:t>
      </w:r>
      <w:r w:rsidR="00BD7B45">
        <w:t> </w:t>
      </w:r>
      <w:r>
        <w:t xml:space="preserve">papunktyje nurodytą turtą pagal turto perdavimo ir priėmimo aktą; </w:t>
      </w:r>
    </w:p>
    <w:p w14:paraId="18DE27AA" w14:textId="77777777" w:rsidR="000677F9" w:rsidRDefault="000677F9" w:rsidP="000677F9">
      <w:pPr>
        <w:ind w:firstLine="720"/>
        <w:jc w:val="both"/>
        <w:rPr>
          <w:bCs/>
        </w:rPr>
      </w:pPr>
      <w:r>
        <w:t xml:space="preserve">4.1.2. </w:t>
      </w:r>
      <w:r>
        <w:rPr>
          <w:bCs/>
        </w:rPr>
        <w:t xml:space="preserve">Sutarties </w:t>
      </w:r>
      <w:r>
        <w:t>galiojimo laikotarpiu atlikti nuomojamo turto ar su juo susijusių inžinerinių sistemų kapitalinio remonto darbus, kai atliekami viso objekto, kurio dalis nuomojama, arba su tuo objektu susijusių inžinerinių tinklų kapitalinio remonto darbai</w:t>
      </w:r>
      <w:r>
        <w:rPr>
          <w:bCs/>
        </w:rPr>
        <w:t>;</w:t>
      </w:r>
    </w:p>
    <w:p w14:paraId="1DA458E9" w14:textId="77777777" w:rsidR="000677F9" w:rsidRDefault="000677F9" w:rsidP="000677F9">
      <w:pPr>
        <w:ind w:firstLine="720"/>
        <w:jc w:val="both"/>
        <w:rPr>
          <w:bCs/>
        </w:rPr>
      </w:pPr>
      <w:r>
        <w:rPr>
          <w:bCs/>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44F3A64E" w14:textId="77777777" w:rsidR="000677F9" w:rsidRDefault="000677F9" w:rsidP="000677F9">
      <w:pPr>
        <w:ind w:firstLine="720"/>
        <w:jc w:val="both"/>
      </w:pPr>
      <w:r>
        <w:rPr>
          <w:bCs/>
        </w:rPr>
        <w:t>4.1.4.</w:t>
      </w:r>
      <w:r>
        <w:t xml:space="preserve"> pasibaigus Sutarties galiojimo terminui arba Sutartį nutraukus prieš terminą, priimti iš nuomininko turtą;</w:t>
      </w:r>
    </w:p>
    <w:p w14:paraId="523FD900" w14:textId="77777777" w:rsidR="000677F9" w:rsidRDefault="000677F9" w:rsidP="000677F9">
      <w:pPr>
        <w:ind w:firstLine="720"/>
        <w:jc w:val="both"/>
      </w:pPr>
      <w:r>
        <w:rPr>
          <w:rFonts w:eastAsia="Calibri"/>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t xml:space="preserve"> </w:t>
      </w:r>
    </w:p>
    <w:p w14:paraId="7674A698" w14:textId="77777777" w:rsidR="000677F9" w:rsidRDefault="000677F9" w:rsidP="000677F9">
      <w:pPr>
        <w:ind w:firstLine="720"/>
        <w:jc w:val="both"/>
        <w:rPr>
          <w:bCs/>
        </w:rPr>
      </w:pPr>
      <w:r>
        <w:rPr>
          <w:bCs/>
        </w:rPr>
        <w:t xml:space="preserve">4.2. Nuomotojas turi teisę Sutarties </w:t>
      </w:r>
      <w:r>
        <w:t xml:space="preserve">galiojimo laikotarpiu tikrinti išnuomotą turtą, taip pat turi kitų teisių ir pareigų, nustatytų Sutartyje ir teisės aktuose. </w:t>
      </w:r>
    </w:p>
    <w:p w14:paraId="74280E00" w14:textId="77777777" w:rsidR="000677F9" w:rsidRDefault="000677F9" w:rsidP="000677F9">
      <w:pPr>
        <w:ind w:firstLine="720"/>
        <w:jc w:val="both"/>
        <w:rPr>
          <w:bCs/>
        </w:rPr>
      </w:pPr>
      <w:r>
        <w:rPr>
          <w:bCs/>
        </w:rPr>
        <w:t>4.3. Nuomininkas įsipareigoja:</w:t>
      </w:r>
    </w:p>
    <w:p w14:paraId="3FAE0EB6" w14:textId="77777777" w:rsidR="000677F9" w:rsidRDefault="000677F9" w:rsidP="000677F9">
      <w:pPr>
        <w:ind w:firstLine="720"/>
        <w:jc w:val="both"/>
        <w:rPr>
          <w:bCs/>
        </w:rPr>
      </w:pPr>
      <w:r>
        <w:rPr>
          <w:rFonts w:eastAsia="Calibri"/>
        </w:rPr>
        <w:t xml:space="preserve">4.3.1. per 5 (penkias) darbo dienas nuo Sutarties ir perdavimo ir priėmimo akto įregistravimo Nekilnojamojo turto registre dienos kompensuoti nuomotojui su Sutarties ir perdavimo ir priėmimo akto įregistravimu susijusias išlaidas (jeigu Nuomotojas pateiks sąskaitą dėl išlaidų kompensavimo); </w:t>
      </w:r>
    </w:p>
    <w:p w14:paraId="773F603A" w14:textId="2D22406D" w:rsidR="000677F9" w:rsidRDefault="000677F9" w:rsidP="00BD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Cs/>
        </w:rPr>
        <w:t xml:space="preserve">4.3.2. </w:t>
      </w:r>
      <w:r>
        <w:t xml:space="preserve">per </w:t>
      </w:r>
      <w:r w:rsidR="00BD7B45">
        <w:t xml:space="preserve">3 darbo dienas </w:t>
      </w:r>
      <w:r>
        <w:t>nuo</w:t>
      </w:r>
      <w:r w:rsidR="00BD7B45">
        <w:t xml:space="preserve"> </w:t>
      </w:r>
      <w:r>
        <w:t xml:space="preserve">Sutarties pasirašymo priimti Sutarties 1.1 papunktyje nurodytą turtą pagal turto perdavimo ir priėmimo aktą; </w:t>
      </w:r>
    </w:p>
    <w:p w14:paraId="555B8A74" w14:textId="77777777" w:rsidR="000677F9" w:rsidRDefault="000677F9" w:rsidP="000677F9">
      <w:pPr>
        <w:tabs>
          <w:tab w:val="left" w:pos="1080"/>
        </w:tabs>
        <w:ind w:firstLine="720"/>
        <w:jc w:val="both"/>
        <w:rPr>
          <w:bCs/>
        </w:rPr>
      </w:pPr>
      <w:r>
        <w:rPr>
          <w:bCs/>
        </w:rPr>
        <w:t>4.3.3. laiku mokėti Sutartyje nustatytą nuomos mokestį ir kitus pagal Sutartį priklausančias įmokas ir mokesčius;</w:t>
      </w:r>
    </w:p>
    <w:p w14:paraId="33DB67DF" w14:textId="77777777" w:rsidR="000677F9" w:rsidRDefault="000677F9" w:rsidP="000677F9">
      <w:pPr>
        <w:tabs>
          <w:tab w:val="left" w:pos="1080"/>
        </w:tabs>
        <w:ind w:firstLine="720"/>
        <w:jc w:val="both"/>
        <w:rPr>
          <w:bCs/>
        </w:rPr>
      </w:pPr>
      <w:r>
        <w:rPr>
          <w:bCs/>
        </w:rPr>
        <w:t>4.3.4. n</w:t>
      </w:r>
      <w:r>
        <w:t xml:space="preserve">audoti turtą pagal paskirtį, vadovautis nustatytais šios paskirties turto priežiūros, priešgaisrinės saugos ir sanitariniais reikalavimais, </w:t>
      </w:r>
      <w:r>
        <w:rPr>
          <w:bCs/>
        </w:rPr>
        <w:t>užtikrinti jo gerą būklę (atsižvelgdamas į normalų nusidėvėjimą), saugoti turtą nuo sugadinimo, dingimo;</w:t>
      </w:r>
    </w:p>
    <w:p w14:paraId="032CA6CA" w14:textId="77777777" w:rsidR="000677F9" w:rsidRDefault="000677F9" w:rsidP="000677F9">
      <w:pPr>
        <w:tabs>
          <w:tab w:val="left" w:pos="1080"/>
        </w:tabs>
        <w:ind w:firstLine="720"/>
        <w:jc w:val="both"/>
      </w:pPr>
      <w:r>
        <w:t>4.3.5. sudaryti nuomotojui sąlygas tikrinti nuomojamo turto būklę;</w:t>
      </w:r>
    </w:p>
    <w:p w14:paraId="63073F84" w14:textId="77777777" w:rsidR="000677F9" w:rsidRDefault="000677F9" w:rsidP="000677F9">
      <w:pPr>
        <w:tabs>
          <w:tab w:val="left" w:pos="1080"/>
        </w:tabs>
        <w:ind w:firstLine="720"/>
        <w:jc w:val="both"/>
      </w:pPr>
      <w: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281C8446" w14:textId="77777777" w:rsidR="000677F9" w:rsidRDefault="000677F9" w:rsidP="000677F9">
      <w:pPr>
        <w:tabs>
          <w:tab w:val="left" w:pos="1080"/>
        </w:tabs>
        <w:ind w:firstLine="720"/>
        <w:jc w:val="both"/>
      </w:pPr>
      <w:r>
        <w:t xml:space="preserve">4.4. </w:t>
      </w:r>
      <w:r>
        <w:rPr>
          <w:bCs/>
        </w:rPr>
        <w:t xml:space="preserve">Nuomininkas turi </w:t>
      </w:r>
      <w:r>
        <w:t>ir kitų teisių ir pareigų, nustatytų Sutartyje ir teisės aktuose.</w:t>
      </w:r>
    </w:p>
    <w:p w14:paraId="690B2953" w14:textId="77777777" w:rsidR="000677F9" w:rsidRDefault="000677F9" w:rsidP="000677F9">
      <w:pPr>
        <w:ind w:firstLine="720"/>
        <w:jc w:val="both"/>
      </w:pPr>
      <w:r>
        <w:rPr>
          <w:rFonts w:eastAsia="Calibri"/>
          <w:bCs/>
        </w:rPr>
        <w:t xml:space="preserve">4.5. </w:t>
      </w:r>
      <w:r>
        <w:rPr>
          <w:rFonts w:eastAsia="Calibri"/>
        </w:rPr>
        <w:t>Nuomininkas neturi teisės subnuomoti turto (ar jo dalies) ar suteikti tretiesiems asmenims kokių nors kitų teisių naudotis turtu (ar jo dalimi) (išskyrus atvejus, kai juridinių asmenų veiklą reglamentuojantys įstatymai nustato specialią teisių perdavimo ar suteikimo tvarką).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t xml:space="preserve"> </w:t>
      </w:r>
    </w:p>
    <w:p w14:paraId="6C3D4252" w14:textId="77777777" w:rsidR="000677F9" w:rsidRDefault="000677F9" w:rsidP="000677F9">
      <w:pPr>
        <w:tabs>
          <w:tab w:val="left" w:pos="1080"/>
        </w:tabs>
        <w:ind w:firstLine="720"/>
        <w:jc w:val="both"/>
      </w:pPr>
      <w:r>
        <w:lastRenderedPageBreak/>
        <w:t>4.6. Sutartis nesuteikia nuomininkui teisės nuomojamo turto adresu registruoti savo ar savo filialų, atstovybių ar patronuojamųjų įmonių, taip pat klientų ar kitų susijusių asmenų buveinių.</w:t>
      </w:r>
    </w:p>
    <w:p w14:paraId="05263695" w14:textId="77777777" w:rsidR="000677F9" w:rsidRDefault="000677F9" w:rsidP="000677F9">
      <w:pPr>
        <w:tabs>
          <w:tab w:val="left" w:pos="1080"/>
        </w:tabs>
        <w:ind w:firstLine="720"/>
        <w:jc w:val="both"/>
      </w:pPr>
      <w:r>
        <w:t>4.7. Nuomininkui draudžiama be rašytinio Savivaldybės tarybos sutikimo atlikti statinio kapitalinio remonto ar rekonstravimo darbus. Nuomininkas turi teisę be išankstinio nuomotojo sutikimo savo lėšomis atlikti turto pertvarkymus, reikalingus tam, kad turtą būtų galima naudoti pagal paskirtį, su sąlyga, kad tokie pertvarkymai nesusiję su statinio rekonstravimu ar kapitaliniu remontu, kaip jie apibrėžti Lietuvos Respublikos statybos įstatyme.</w:t>
      </w:r>
    </w:p>
    <w:p w14:paraId="2608B019" w14:textId="77777777" w:rsidR="000677F9" w:rsidRDefault="000677F9" w:rsidP="000677F9">
      <w:pPr>
        <w:tabs>
          <w:tab w:val="num" w:pos="1080"/>
        </w:tabs>
        <w:jc w:val="center"/>
        <w:rPr>
          <w:b/>
        </w:rPr>
      </w:pPr>
    </w:p>
    <w:p w14:paraId="36586AE0" w14:textId="77777777" w:rsidR="000677F9" w:rsidRDefault="000677F9" w:rsidP="000677F9">
      <w:pPr>
        <w:tabs>
          <w:tab w:val="num" w:pos="1080"/>
        </w:tabs>
        <w:jc w:val="center"/>
        <w:rPr>
          <w:b/>
        </w:rPr>
      </w:pPr>
      <w:r>
        <w:rPr>
          <w:b/>
        </w:rPr>
        <w:t>V. ŠALIŲ ATSAKOMYBĖ</w:t>
      </w:r>
    </w:p>
    <w:p w14:paraId="7908EB43" w14:textId="77777777" w:rsidR="000677F9" w:rsidRDefault="000677F9" w:rsidP="000677F9">
      <w:pPr>
        <w:tabs>
          <w:tab w:val="num" w:pos="1080"/>
        </w:tabs>
        <w:jc w:val="center"/>
        <w:rPr>
          <w:b/>
        </w:rPr>
      </w:pPr>
    </w:p>
    <w:p w14:paraId="66366C03" w14:textId="77777777" w:rsidR="000677F9" w:rsidRDefault="000677F9" w:rsidP="000677F9">
      <w:pPr>
        <w:tabs>
          <w:tab w:val="num" w:pos="1080"/>
        </w:tabs>
        <w:ind w:firstLine="720"/>
        <w:jc w:val="both"/>
      </w:pPr>
      <w:r>
        <w:t xml:space="preserve">5.1. Nuomininkas, per Sutartyje nustatytus terminus nesumokėjęs nuompinigių ir (ar) kitų mokesčių ir įmokų, privalo mokėti nuomotojui 0,05 procento dydžio delspinigius nuo visos nesumokėtos sumos už kiekvieną pavėluotą dieną. </w:t>
      </w:r>
    </w:p>
    <w:p w14:paraId="50DAA6E6" w14:textId="77777777" w:rsidR="000677F9" w:rsidRDefault="000677F9" w:rsidP="000677F9">
      <w:pPr>
        <w:tabs>
          <w:tab w:val="num" w:pos="1080"/>
        </w:tabs>
        <w:ind w:firstLine="720"/>
        <w:jc w:val="both"/>
      </w:pPr>
      <w:r>
        <w:t xml:space="preserve">5.2. Delspinigių sumokėjimas neatleidžia nuomininko nuo pagrindinės prievolės įvykdymo. </w:t>
      </w:r>
    </w:p>
    <w:p w14:paraId="6F41B066" w14:textId="3E919E81" w:rsidR="000677F9" w:rsidRDefault="000677F9" w:rsidP="000677F9">
      <w:pPr>
        <w:tabs>
          <w:tab w:val="num" w:pos="1080"/>
        </w:tabs>
        <w:ind w:firstLine="720"/>
        <w:jc w:val="both"/>
      </w:pPr>
      <w:r>
        <w:t xml:space="preserve">5.3. Už turto </w:t>
      </w:r>
      <w:r>
        <w:rPr>
          <w:color w:val="000000"/>
        </w:rPr>
        <w:t>pabloginimą</w:t>
      </w:r>
      <w:r>
        <w:t xml:space="preserve"> nuomininkas atsako Lietuvos Respublikos civilinio kodekso 6.500</w:t>
      </w:r>
      <w:r w:rsidR="00BD7B45">
        <w:t> </w:t>
      </w:r>
      <w:r>
        <w:t>straipsnyje nustatyta tvarka.</w:t>
      </w:r>
    </w:p>
    <w:p w14:paraId="46193A02" w14:textId="77777777" w:rsidR="000677F9" w:rsidRDefault="000677F9" w:rsidP="000677F9">
      <w:pPr>
        <w:tabs>
          <w:tab w:val="num" w:pos="1080"/>
        </w:tabs>
        <w:jc w:val="center"/>
        <w:rPr>
          <w:b/>
        </w:rPr>
      </w:pPr>
    </w:p>
    <w:p w14:paraId="50D3296E" w14:textId="77777777" w:rsidR="000677F9" w:rsidRDefault="000677F9" w:rsidP="000677F9">
      <w:pPr>
        <w:tabs>
          <w:tab w:val="num" w:pos="1080"/>
        </w:tabs>
        <w:jc w:val="center"/>
        <w:rPr>
          <w:b/>
        </w:rPr>
      </w:pPr>
      <w:r>
        <w:rPr>
          <w:b/>
        </w:rPr>
        <w:t>VI. SUTARTIES GALIOJIMAS, ATNAUJINIMAS, PAKEITIMAS IR PASIBAIGIMAS</w:t>
      </w:r>
    </w:p>
    <w:p w14:paraId="4FE93E79" w14:textId="77777777" w:rsidR="000677F9" w:rsidRDefault="000677F9" w:rsidP="000677F9">
      <w:pPr>
        <w:tabs>
          <w:tab w:val="num" w:pos="1080"/>
        </w:tabs>
        <w:jc w:val="center"/>
        <w:rPr>
          <w:b/>
        </w:rPr>
      </w:pPr>
    </w:p>
    <w:p w14:paraId="420E75CF" w14:textId="77777777" w:rsidR="000677F9" w:rsidRDefault="000677F9" w:rsidP="000677F9">
      <w:pPr>
        <w:tabs>
          <w:tab w:val="num" w:pos="1080"/>
        </w:tabs>
        <w:ind w:firstLine="720"/>
        <w:jc w:val="both"/>
      </w:pPr>
      <w:r>
        <w:t>6.1. Ši Sutartis įsigalioja jos pasirašymo dieną ir galioja, iki visiškai ir tinkamai įvykdomi Sutartyje nustatyti įsipareigojimai arba Sutartis nutraukiama Sutartyje ir (ar) teisės aktuose nustatyta tvarka.</w:t>
      </w:r>
    </w:p>
    <w:p w14:paraId="7A31C6A2" w14:textId="6E91878D" w:rsidR="000361B4" w:rsidRPr="009B1E38" w:rsidRDefault="000677F9" w:rsidP="000677F9">
      <w:pPr>
        <w:tabs>
          <w:tab w:val="num" w:pos="1080"/>
        </w:tabs>
        <w:ind w:firstLine="720"/>
        <w:jc w:val="both"/>
      </w:pPr>
      <w:r w:rsidRPr="009B1E38">
        <w:t xml:space="preserve">6.2.  </w:t>
      </w:r>
      <w:r w:rsidRPr="005A0354">
        <w:t>Pasibaigus nuomos sutarties terminui</w:t>
      </w:r>
      <w:r w:rsidR="000361B4">
        <w:t xml:space="preserve"> sutartis nebus atnaujinama.</w:t>
      </w:r>
    </w:p>
    <w:p w14:paraId="503DE38A" w14:textId="77777777" w:rsidR="000677F9" w:rsidRDefault="000677F9" w:rsidP="000677F9">
      <w:pPr>
        <w:tabs>
          <w:tab w:val="num" w:pos="1080"/>
        </w:tabs>
        <w:ind w:firstLine="720"/>
        <w:jc w:val="both"/>
        <w:rPr>
          <w:bCs/>
        </w:rPr>
      </w:pPr>
      <w:r w:rsidRPr="009B1E38">
        <w:rPr>
          <w:bCs/>
        </w:rPr>
        <w:t xml:space="preserve">6.3.  Pasibaigus </w:t>
      </w:r>
      <w:r>
        <w:rPr>
          <w:bCs/>
        </w:rPr>
        <w:t xml:space="preserve">6.2 punkte nurodytam </w:t>
      </w:r>
      <w:r w:rsidRPr="009B1E38">
        <w:rPr>
          <w:bCs/>
        </w:rPr>
        <w:t>turto nuomos terminui, nuomotojas turės teisę (tačiau neprivalės) pasiūlyti nuomininkui išsinuomoti turtą naujomis nuomotojo nuožiūra nurodytomis sąlygomis ir terminais.</w:t>
      </w:r>
    </w:p>
    <w:p w14:paraId="714F0424" w14:textId="77777777" w:rsidR="000677F9" w:rsidRDefault="000677F9" w:rsidP="000677F9">
      <w:pPr>
        <w:tabs>
          <w:tab w:val="num" w:pos="1080"/>
        </w:tabs>
        <w:ind w:firstLine="720"/>
        <w:jc w:val="both"/>
      </w:pPr>
      <w:r>
        <w:t xml:space="preserve">6.4. Visi Sutartis pakeitimai, papildymai ir priedai galioja, jeigu jie sudaryti raštu ir pasirašyti Sutarties šalių. </w:t>
      </w:r>
    </w:p>
    <w:p w14:paraId="7F5EBF34" w14:textId="77777777" w:rsidR="000677F9" w:rsidRDefault="000677F9" w:rsidP="000677F9">
      <w:pPr>
        <w:ind w:firstLine="720"/>
        <w:jc w:val="both"/>
        <w:rPr>
          <w:bCs/>
        </w:rPr>
      </w:pPr>
      <w:r>
        <w:rPr>
          <w:bCs/>
        </w:rPr>
        <w:t>6.5. Ši Sutartis pasibaigia arba gali būti nutraukta:</w:t>
      </w:r>
    </w:p>
    <w:p w14:paraId="70DA1DE8" w14:textId="77777777" w:rsidR="000677F9" w:rsidRDefault="000677F9" w:rsidP="000677F9">
      <w:pPr>
        <w:ind w:firstLine="720"/>
        <w:jc w:val="both"/>
        <w:rPr>
          <w:bCs/>
        </w:rPr>
      </w:pPr>
      <w:r>
        <w:rPr>
          <w:bCs/>
        </w:rPr>
        <w:t>6.5.1. pasibaigus nuomos terminui;</w:t>
      </w:r>
    </w:p>
    <w:p w14:paraId="7ABA3C66" w14:textId="77777777" w:rsidR="000677F9" w:rsidRDefault="000677F9" w:rsidP="000677F9">
      <w:pPr>
        <w:ind w:firstLine="720"/>
        <w:jc w:val="both"/>
      </w:pPr>
      <w:r>
        <w:rPr>
          <w:bCs/>
        </w:rPr>
        <w:t xml:space="preserve">6.5.2. </w:t>
      </w:r>
      <w:r>
        <w:t>Sutarties šalių susitarimu;</w:t>
      </w:r>
    </w:p>
    <w:p w14:paraId="55ABFD47" w14:textId="77777777" w:rsidR="000677F9" w:rsidRDefault="000677F9" w:rsidP="000677F9">
      <w:pPr>
        <w:ind w:firstLine="720"/>
        <w:jc w:val="both"/>
        <w:rPr>
          <w:bCs/>
        </w:rPr>
      </w:pPr>
      <w:r>
        <w:t>6.5.3. kitais Lietuvos Respublikos civilinio kodekso nustatytais atvejais ir tvarka;</w:t>
      </w:r>
    </w:p>
    <w:p w14:paraId="4220801C" w14:textId="77777777" w:rsidR="000677F9" w:rsidRDefault="000677F9" w:rsidP="000677F9">
      <w:pPr>
        <w:ind w:firstLine="720"/>
        <w:jc w:val="both"/>
      </w:pPr>
      <w:r>
        <w:t>6.5.4. Lietuvos Respublikos civilinio kodekso nustatyta tvarka, kai išnuomoto turto reikia Savivaldybės funkcijoms atlikti.</w:t>
      </w:r>
    </w:p>
    <w:p w14:paraId="73DF7A8D" w14:textId="77777777" w:rsidR="000677F9" w:rsidRDefault="000677F9" w:rsidP="000677F9">
      <w:pPr>
        <w:jc w:val="center"/>
        <w:rPr>
          <w:b/>
          <w:caps/>
        </w:rPr>
      </w:pPr>
    </w:p>
    <w:p w14:paraId="5F6D5EE5" w14:textId="77777777" w:rsidR="000677F9" w:rsidRDefault="000677F9" w:rsidP="000677F9">
      <w:pPr>
        <w:jc w:val="center"/>
        <w:rPr>
          <w:b/>
          <w:caps/>
        </w:rPr>
      </w:pPr>
      <w:r>
        <w:rPr>
          <w:b/>
          <w:caps/>
        </w:rPr>
        <w:t>VII. NENUGALIMOS JĖGOS (</w:t>
      </w:r>
      <w:r>
        <w:rPr>
          <w:b/>
          <w:i/>
          <w:caps/>
        </w:rPr>
        <w:t>Force Majeure</w:t>
      </w:r>
      <w:r>
        <w:rPr>
          <w:b/>
          <w:caps/>
        </w:rPr>
        <w:t>) APLINKYBĖS</w:t>
      </w:r>
    </w:p>
    <w:p w14:paraId="01DE51C9" w14:textId="77777777" w:rsidR="000677F9" w:rsidRDefault="000677F9" w:rsidP="000677F9">
      <w:pPr>
        <w:jc w:val="center"/>
        <w:rPr>
          <w:b/>
          <w:caps/>
        </w:rPr>
      </w:pPr>
    </w:p>
    <w:p w14:paraId="48F43049" w14:textId="77777777" w:rsidR="000677F9" w:rsidRDefault="000677F9" w:rsidP="000677F9">
      <w:pPr>
        <w:ind w:firstLine="720"/>
        <w:jc w:val="both"/>
        <w:rPr>
          <w:b/>
          <w:caps/>
        </w:rPr>
      </w:pPr>
      <w:r>
        <w:t>7.1. Nė viena šalis nelaikoma pažeidusi Sutartį arba nevykdanti savo įsipareigojimų pagal Sutartį, jeigu įsipareigojimus vykdyti jai trukdo nenugalimos jėgos (</w:t>
      </w:r>
      <w:r>
        <w:rPr>
          <w:i/>
        </w:rPr>
        <w:t>force majeure</w:t>
      </w:r>
      <w: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5AED3710" w14:textId="77777777" w:rsidR="000677F9" w:rsidRDefault="000677F9" w:rsidP="000677F9">
      <w:pPr>
        <w:tabs>
          <w:tab w:val="left" w:pos="1080"/>
        </w:tabs>
        <w:ind w:firstLine="720"/>
        <w:jc w:val="both"/>
      </w:pPr>
      <w:r>
        <w:t>7.2. Jeigu kuri nors šalis mano, kad atsirado nenugalimos jėgos (</w:t>
      </w:r>
      <w:r>
        <w:rPr>
          <w:i/>
        </w:rPr>
        <w:t>force majeure</w:t>
      </w:r>
      <w: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Pr>
          <w:i/>
        </w:rPr>
        <w:t>force majeure</w:t>
      </w:r>
      <w:r>
        <w:t xml:space="preserve">) aplinkybės netrukdo. </w:t>
      </w:r>
    </w:p>
    <w:p w14:paraId="596649C9" w14:textId="77777777" w:rsidR="000677F9" w:rsidRDefault="000677F9" w:rsidP="000677F9">
      <w:pPr>
        <w:tabs>
          <w:tab w:val="left" w:pos="709"/>
          <w:tab w:val="left" w:pos="1080"/>
          <w:tab w:val="left" w:pos="1260"/>
        </w:tabs>
        <w:ind w:firstLine="720"/>
        <w:jc w:val="both"/>
      </w:pPr>
      <w:r>
        <w:t>7.3. Jeigu nenugalimos jėgos (</w:t>
      </w:r>
      <w:r>
        <w:rPr>
          <w:i/>
        </w:rPr>
        <w:t>force majeure</w:t>
      </w:r>
      <w:r>
        <w:t>) aplinkybės trunka ilgiau kaip 90 kalendorinių dienų, viena iš šalių turi teisę Sutartį nutraukti įspėdama apie tai kitą šalį prieš 30 kalendorinių dienų. Jeigu praėjus šiam 30 kalendorinių dienų laikotarpiui nenugalimos jėgos (</w:t>
      </w:r>
      <w:r>
        <w:rPr>
          <w:i/>
        </w:rPr>
        <w:t>force majeure</w:t>
      </w:r>
      <w:r>
        <w:t xml:space="preserve">) aplinkybės </w:t>
      </w:r>
      <w:r>
        <w:lastRenderedPageBreak/>
        <w:t>tęsiasi, Sutartis nutraukiama ir pagal Sutarties sąlygas šalys atleidžiamos nuo tolesnio Sutarties vykdymo.</w:t>
      </w:r>
    </w:p>
    <w:p w14:paraId="44299037" w14:textId="77777777" w:rsidR="000677F9" w:rsidRDefault="000677F9" w:rsidP="000677F9">
      <w:pPr>
        <w:tabs>
          <w:tab w:val="num" w:pos="1080"/>
        </w:tabs>
        <w:jc w:val="center"/>
        <w:rPr>
          <w:b/>
        </w:rPr>
      </w:pPr>
    </w:p>
    <w:p w14:paraId="098E72EA" w14:textId="77777777" w:rsidR="000677F9" w:rsidRDefault="000677F9" w:rsidP="000677F9">
      <w:pPr>
        <w:tabs>
          <w:tab w:val="num" w:pos="1080"/>
        </w:tabs>
        <w:jc w:val="center"/>
        <w:rPr>
          <w:b/>
        </w:rPr>
      </w:pPr>
      <w:r>
        <w:rPr>
          <w:b/>
        </w:rPr>
        <w:t>VIII. BAIGIAMOSIOS NUOSTATOS</w:t>
      </w:r>
    </w:p>
    <w:p w14:paraId="0D9199E9" w14:textId="77777777" w:rsidR="00BD7B45" w:rsidRDefault="00BD7B45" w:rsidP="000677F9">
      <w:pPr>
        <w:tabs>
          <w:tab w:val="num" w:pos="1080"/>
        </w:tabs>
        <w:jc w:val="center"/>
        <w:rPr>
          <w:b/>
        </w:rPr>
      </w:pPr>
    </w:p>
    <w:p w14:paraId="1945B0B7" w14:textId="18E1C819" w:rsidR="000677F9" w:rsidRDefault="00BD7B45" w:rsidP="000677F9">
      <w:pPr>
        <w:ind w:firstLine="720"/>
        <w:jc w:val="both"/>
      </w:pPr>
      <w:r>
        <w:t>8</w:t>
      </w:r>
      <w:r w:rsidR="000677F9">
        <w:t>.</w:t>
      </w:r>
      <w:r>
        <w:t>1</w:t>
      </w:r>
      <w:r w:rsidR="000677F9">
        <w:t>. Bet koks ginčas, kylantis iš Sutarties ar susijęs su Sutartimi, kuris neišsprendžiamas derybų būdu, turi būti sprendžiamas teisme Lietuvos Respublikos įstatymų nustatyta tvarka.</w:t>
      </w:r>
    </w:p>
    <w:p w14:paraId="219911C2" w14:textId="52AAF4FC" w:rsidR="000677F9" w:rsidRDefault="000677F9" w:rsidP="000677F9">
      <w:pPr>
        <w:ind w:firstLine="720"/>
        <w:jc w:val="both"/>
      </w:pPr>
      <w:r>
        <w:t>8.</w:t>
      </w:r>
      <w:r w:rsidR="00BD7B45">
        <w:t>2</w:t>
      </w:r>
      <w:r>
        <w:t>. Sutartis surašoma dviem egzemplioriais – po vieną kiekvienai Sutarties šaliai.</w:t>
      </w:r>
    </w:p>
    <w:p w14:paraId="084AF893" w14:textId="28E8531F" w:rsidR="000677F9" w:rsidRDefault="000677F9" w:rsidP="000677F9">
      <w:pPr>
        <w:ind w:firstLine="720"/>
        <w:jc w:val="both"/>
      </w:pPr>
      <w:r>
        <w:t>8.</w:t>
      </w:r>
      <w:r w:rsidR="00BD7B45">
        <w:t>3</w:t>
      </w:r>
      <w:r>
        <w:t>. Sutarties priedai:</w:t>
      </w:r>
    </w:p>
    <w:p w14:paraId="3F2EE29D" w14:textId="1A12C3D4" w:rsidR="000677F9" w:rsidRDefault="000677F9" w:rsidP="000677F9">
      <w:pPr>
        <w:ind w:firstLine="720"/>
        <w:jc w:val="both"/>
      </w:pPr>
      <w:r>
        <w:t>8.</w:t>
      </w:r>
      <w:r w:rsidR="00BD7B45">
        <w:t>3</w:t>
      </w:r>
      <w:r>
        <w:t>.1. Savivaldybės materialiojo turto perdavimo ir priėmimo aktas;</w:t>
      </w:r>
    </w:p>
    <w:p w14:paraId="04B87841" w14:textId="634AEC22" w:rsidR="000677F9" w:rsidRDefault="000677F9" w:rsidP="000677F9">
      <w:pPr>
        <w:ind w:firstLine="720"/>
        <w:jc w:val="both"/>
      </w:pPr>
      <w:r>
        <w:t>8.</w:t>
      </w:r>
      <w:r w:rsidR="00BD7B45">
        <w:t>3</w:t>
      </w:r>
      <w:r>
        <w:t>.2. kiti nuomojamo Savivaldybės materialiojo turto dokumentai ir priedai, kurie būtini, kad būtų galima naudotis šiuo turtu.</w:t>
      </w:r>
    </w:p>
    <w:p w14:paraId="33EA1993" w14:textId="77777777" w:rsidR="000677F9" w:rsidRDefault="000677F9" w:rsidP="000677F9">
      <w:pPr>
        <w:jc w:val="center"/>
        <w:rPr>
          <w:b/>
          <w:bCs/>
        </w:rPr>
      </w:pPr>
    </w:p>
    <w:p w14:paraId="36E3EC94" w14:textId="77777777" w:rsidR="000677F9" w:rsidRDefault="000677F9" w:rsidP="000677F9">
      <w:pPr>
        <w:jc w:val="center"/>
        <w:rPr>
          <w:b/>
          <w:bCs/>
        </w:rPr>
      </w:pPr>
      <w:r>
        <w:rPr>
          <w:b/>
          <w:bCs/>
        </w:rPr>
        <w:t>IX. SUTARTIES ŠALIŲ REKVIZITAI IR ADRESAI</w:t>
      </w:r>
    </w:p>
    <w:p w14:paraId="60F7AAE0" w14:textId="77777777" w:rsidR="000677F9" w:rsidRPr="000817F0" w:rsidRDefault="000677F9" w:rsidP="000677F9">
      <w:pPr>
        <w:jc w:val="center"/>
      </w:pPr>
      <w:r w:rsidRPr="000817F0">
        <w:rPr>
          <w:b/>
          <w:bCs/>
        </w:rPr>
        <w:t> </w:t>
      </w:r>
    </w:p>
    <w:tbl>
      <w:tblPr>
        <w:tblW w:w="9570" w:type="dxa"/>
        <w:tblCellSpacing w:w="15" w:type="dxa"/>
        <w:tblCellMar>
          <w:top w:w="15" w:type="dxa"/>
          <w:left w:w="15" w:type="dxa"/>
          <w:bottom w:w="15" w:type="dxa"/>
          <w:right w:w="15" w:type="dxa"/>
        </w:tblCellMar>
        <w:tblLook w:val="0000" w:firstRow="0" w:lastRow="0" w:firstColumn="0" w:lastColumn="0" w:noHBand="0" w:noVBand="0"/>
      </w:tblPr>
      <w:tblGrid>
        <w:gridCol w:w="4907"/>
        <w:gridCol w:w="4663"/>
      </w:tblGrid>
      <w:tr w:rsidR="000677F9" w:rsidRPr="006D6198" w14:paraId="0836C2B8" w14:textId="77777777" w:rsidTr="00F877DE">
        <w:trPr>
          <w:trHeight w:val="246"/>
          <w:tblCellSpacing w:w="15" w:type="dxa"/>
        </w:trPr>
        <w:tc>
          <w:tcPr>
            <w:tcW w:w="4862" w:type="dxa"/>
            <w:shd w:val="clear" w:color="auto" w:fill="auto"/>
          </w:tcPr>
          <w:p w14:paraId="18634DA9" w14:textId="77777777" w:rsidR="000677F9" w:rsidRPr="006D6198" w:rsidRDefault="000677F9" w:rsidP="00F877DE">
            <w:pPr>
              <w:jc w:val="both"/>
              <w:rPr>
                <w:b/>
              </w:rPr>
            </w:pPr>
            <w:r w:rsidRPr="006D6198">
              <w:rPr>
                <w:b/>
              </w:rPr>
              <w:t xml:space="preserve">Nuomotojas </w:t>
            </w:r>
          </w:p>
        </w:tc>
        <w:tc>
          <w:tcPr>
            <w:tcW w:w="4618" w:type="dxa"/>
            <w:shd w:val="clear" w:color="auto" w:fill="auto"/>
          </w:tcPr>
          <w:p w14:paraId="34A710A8" w14:textId="361C998B" w:rsidR="000677F9" w:rsidRPr="006D6198" w:rsidRDefault="000361B4" w:rsidP="00F877DE">
            <w:pPr>
              <w:jc w:val="both"/>
              <w:rPr>
                <w:b/>
              </w:rPr>
            </w:pPr>
            <w:r>
              <w:rPr>
                <w:b/>
              </w:rPr>
              <w:t xml:space="preserve">      </w:t>
            </w:r>
            <w:r w:rsidR="000677F9" w:rsidRPr="006D6198">
              <w:rPr>
                <w:b/>
              </w:rPr>
              <w:t xml:space="preserve">Nuomininkas </w:t>
            </w:r>
          </w:p>
        </w:tc>
      </w:tr>
      <w:tr w:rsidR="000677F9" w:rsidRPr="006D6198" w14:paraId="6DBA5F69" w14:textId="77777777" w:rsidTr="00F877DE">
        <w:trPr>
          <w:trHeight w:val="181"/>
          <w:tblCellSpacing w:w="15" w:type="dxa"/>
        </w:trPr>
        <w:tc>
          <w:tcPr>
            <w:tcW w:w="4862" w:type="dxa"/>
            <w:shd w:val="clear" w:color="auto" w:fill="auto"/>
          </w:tcPr>
          <w:p w14:paraId="37D8BD79" w14:textId="77777777" w:rsidR="000677F9" w:rsidRPr="006D6198" w:rsidRDefault="000677F9" w:rsidP="00F877DE">
            <w:pPr>
              <w:jc w:val="both"/>
            </w:pPr>
            <w:r w:rsidRPr="006D6198">
              <w:t>Biržų rajono savivaldybės administracija</w:t>
            </w:r>
          </w:p>
        </w:tc>
        <w:tc>
          <w:tcPr>
            <w:tcW w:w="4618" w:type="dxa"/>
            <w:shd w:val="clear" w:color="auto" w:fill="auto"/>
          </w:tcPr>
          <w:p w14:paraId="10E9A061" w14:textId="6A7FF63D" w:rsidR="000677F9" w:rsidRPr="006D6198" w:rsidRDefault="000677F9" w:rsidP="00BD7B45"/>
        </w:tc>
      </w:tr>
      <w:tr w:rsidR="000677F9" w:rsidRPr="006D6198" w14:paraId="08D60A38" w14:textId="77777777" w:rsidTr="00F877DE">
        <w:trPr>
          <w:tblCellSpacing w:w="15" w:type="dxa"/>
        </w:trPr>
        <w:tc>
          <w:tcPr>
            <w:tcW w:w="4862" w:type="dxa"/>
            <w:shd w:val="clear" w:color="auto" w:fill="auto"/>
          </w:tcPr>
          <w:p w14:paraId="21EB2580" w14:textId="77777777" w:rsidR="000677F9" w:rsidRPr="006D6198" w:rsidRDefault="000677F9" w:rsidP="00F877DE">
            <w:pPr>
              <w:jc w:val="both"/>
            </w:pPr>
            <w:r w:rsidRPr="006D6198">
              <w:t>Vytauto g. 38, LT-41143 Biržai</w:t>
            </w:r>
          </w:p>
        </w:tc>
        <w:tc>
          <w:tcPr>
            <w:tcW w:w="4618" w:type="dxa"/>
            <w:shd w:val="clear" w:color="auto" w:fill="auto"/>
          </w:tcPr>
          <w:p w14:paraId="550A57C5" w14:textId="4A166537" w:rsidR="000677F9" w:rsidRPr="006D6198" w:rsidRDefault="000677F9" w:rsidP="00F877DE">
            <w:pPr>
              <w:jc w:val="both"/>
            </w:pPr>
          </w:p>
        </w:tc>
      </w:tr>
      <w:tr w:rsidR="000677F9" w:rsidRPr="006D6198" w14:paraId="299A7A6B" w14:textId="77777777" w:rsidTr="00F877DE">
        <w:trPr>
          <w:trHeight w:val="233"/>
          <w:tblCellSpacing w:w="15" w:type="dxa"/>
        </w:trPr>
        <w:tc>
          <w:tcPr>
            <w:tcW w:w="4862" w:type="dxa"/>
            <w:shd w:val="clear" w:color="auto" w:fill="auto"/>
          </w:tcPr>
          <w:p w14:paraId="1652BE2B" w14:textId="77777777" w:rsidR="000677F9" w:rsidRPr="006D6198" w:rsidRDefault="000677F9" w:rsidP="00F877DE">
            <w:pPr>
              <w:jc w:val="both"/>
            </w:pPr>
            <w:r w:rsidRPr="006D6198">
              <w:t>Kodas 188642660</w:t>
            </w:r>
          </w:p>
        </w:tc>
        <w:tc>
          <w:tcPr>
            <w:tcW w:w="4618" w:type="dxa"/>
            <w:shd w:val="clear" w:color="auto" w:fill="auto"/>
          </w:tcPr>
          <w:p w14:paraId="7F563775" w14:textId="5835CDC3" w:rsidR="000677F9" w:rsidRPr="006D6198" w:rsidRDefault="000677F9" w:rsidP="00F877DE">
            <w:pPr>
              <w:jc w:val="both"/>
            </w:pPr>
          </w:p>
        </w:tc>
      </w:tr>
      <w:tr w:rsidR="000677F9" w:rsidRPr="006D6198" w14:paraId="3C95C6E2" w14:textId="77777777" w:rsidTr="00F877DE">
        <w:trPr>
          <w:tblCellSpacing w:w="15" w:type="dxa"/>
        </w:trPr>
        <w:tc>
          <w:tcPr>
            <w:tcW w:w="4862" w:type="dxa"/>
            <w:shd w:val="clear" w:color="auto" w:fill="auto"/>
          </w:tcPr>
          <w:p w14:paraId="2657188A" w14:textId="6062B54C" w:rsidR="000677F9" w:rsidRPr="006D6198" w:rsidRDefault="000677F9" w:rsidP="00F877DE">
            <w:pPr>
              <w:jc w:val="both"/>
            </w:pPr>
            <w:r w:rsidRPr="006D6198">
              <w:t xml:space="preserve">Tel. </w:t>
            </w:r>
            <w:r w:rsidR="00C349FC">
              <w:t>+370</w:t>
            </w:r>
            <w:r w:rsidRPr="000865E5">
              <w:t xml:space="preserve"> 605 74 081</w:t>
            </w:r>
          </w:p>
        </w:tc>
        <w:tc>
          <w:tcPr>
            <w:tcW w:w="4618" w:type="dxa"/>
            <w:shd w:val="clear" w:color="auto" w:fill="auto"/>
          </w:tcPr>
          <w:p w14:paraId="76552C6A" w14:textId="2323A96D" w:rsidR="000677F9" w:rsidRPr="006D6198" w:rsidRDefault="000677F9" w:rsidP="00F877DE">
            <w:pPr>
              <w:jc w:val="both"/>
            </w:pPr>
          </w:p>
        </w:tc>
      </w:tr>
      <w:tr w:rsidR="000677F9" w:rsidRPr="006D6198" w14:paraId="08958E92" w14:textId="77777777" w:rsidTr="00F877DE">
        <w:trPr>
          <w:tblCellSpacing w:w="15" w:type="dxa"/>
        </w:trPr>
        <w:tc>
          <w:tcPr>
            <w:tcW w:w="4862" w:type="dxa"/>
            <w:shd w:val="clear" w:color="auto" w:fill="auto"/>
          </w:tcPr>
          <w:p w14:paraId="58FBA6FD" w14:textId="77777777" w:rsidR="000677F9" w:rsidRPr="006D6198" w:rsidRDefault="000677F9" w:rsidP="00F877DE">
            <w:pPr>
              <w:jc w:val="both"/>
            </w:pPr>
            <w:r w:rsidRPr="006D6198">
              <w:t xml:space="preserve">El. paštas </w:t>
            </w:r>
            <w:hyperlink r:id="rId6" w:history="1">
              <w:r w:rsidRPr="006D6198">
                <w:rPr>
                  <w:rStyle w:val="Hipersaitas"/>
                </w:rPr>
                <w:t>savivaldybe@birzai.lt</w:t>
              </w:r>
            </w:hyperlink>
            <w:r>
              <w:rPr>
                <w:rStyle w:val="Hipersaitas"/>
              </w:rPr>
              <w:t xml:space="preserve"> </w:t>
            </w:r>
          </w:p>
        </w:tc>
        <w:tc>
          <w:tcPr>
            <w:tcW w:w="4618" w:type="dxa"/>
            <w:shd w:val="clear" w:color="auto" w:fill="auto"/>
          </w:tcPr>
          <w:p w14:paraId="49421E69" w14:textId="2A27908B" w:rsidR="000677F9" w:rsidRPr="006D6198" w:rsidRDefault="000677F9" w:rsidP="00F877DE">
            <w:pPr>
              <w:jc w:val="both"/>
              <w:rPr>
                <w:lang w:val="en-US"/>
              </w:rPr>
            </w:pPr>
          </w:p>
        </w:tc>
      </w:tr>
      <w:tr w:rsidR="000677F9" w:rsidRPr="006D6198" w14:paraId="7C9739E1" w14:textId="77777777" w:rsidTr="00F877DE">
        <w:trPr>
          <w:tblCellSpacing w:w="15" w:type="dxa"/>
        </w:trPr>
        <w:tc>
          <w:tcPr>
            <w:tcW w:w="4862" w:type="dxa"/>
            <w:shd w:val="clear" w:color="auto" w:fill="auto"/>
          </w:tcPr>
          <w:p w14:paraId="6C8B2425" w14:textId="77777777" w:rsidR="000677F9" w:rsidRPr="006D6198" w:rsidRDefault="000677F9" w:rsidP="00F877DE">
            <w:pPr>
              <w:jc w:val="both"/>
            </w:pPr>
            <w:r w:rsidRPr="006D6198">
              <w:t>A. s. Nr. LT234010041300030149</w:t>
            </w:r>
          </w:p>
        </w:tc>
        <w:tc>
          <w:tcPr>
            <w:tcW w:w="4618" w:type="dxa"/>
            <w:shd w:val="clear" w:color="auto" w:fill="auto"/>
          </w:tcPr>
          <w:p w14:paraId="30F6869E" w14:textId="4AE0E515" w:rsidR="000677F9" w:rsidRPr="006D6198" w:rsidRDefault="000677F9" w:rsidP="00F877DE">
            <w:pPr>
              <w:jc w:val="both"/>
            </w:pPr>
          </w:p>
        </w:tc>
      </w:tr>
      <w:tr w:rsidR="000677F9" w:rsidRPr="006D6198" w14:paraId="707B5A5C" w14:textId="77777777" w:rsidTr="00F877DE">
        <w:trPr>
          <w:tblCellSpacing w:w="15" w:type="dxa"/>
        </w:trPr>
        <w:tc>
          <w:tcPr>
            <w:tcW w:w="4862" w:type="dxa"/>
            <w:shd w:val="clear" w:color="auto" w:fill="auto"/>
          </w:tcPr>
          <w:p w14:paraId="50946ED0" w14:textId="77777777" w:rsidR="000677F9" w:rsidRPr="006D6198" w:rsidRDefault="000677F9" w:rsidP="00F877DE">
            <w:pPr>
              <w:jc w:val="both"/>
            </w:pPr>
            <w:r>
              <w:t>LUMINOR Bank AS</w:t>
            </w:r>
          </w:p>
        </w:tc>
        <w:tc>
          <w:tcPr>
            <w:tcW w:w="4618" w:type="dxa"/>
            <w:shd w:val="clear" w:color="auto" w:fill="auto"/>
          </w:tcPr>
          <w:p w14:paraId="696C07FD" w14:textId="30C14680" w:rsidR="000677F9" w:rsidRPr="006D6198" w:rsidRDefault="000677F9" w:rsidP="00F877DE">
            <w:pPr>
              <w:jc w:val="both"/>
            </w:pPr>
          </w:p>
        </w:tc>
      </w:tr>
      <w:tr w:rsidR="000677F9" w:rsidRPr="006D6198" w14:paraId="4DCAE84E" w14:textId="77777777" w:rsidTr="00F877DE">
        <w:trPr>
          <w:tblCellSpacing w:w="15" w:type="dxa"/>
        </w:trPr>
        <w:tc>
          <w:tcPr>
            <w:tcW w:w="4862" w:type="dxa"/>
            <w:shd w:val="clear" w:color="auto" w:fill="auto"/>
          </w:tcPr>
          <w:p w14:paraId="47467960" w14:textId="77777777" w:rsidR="000677F9" w:rsidRDefault="000677F9" w:rsidP="00F877DE">
            <w:pPr>
              <w:jc w:val="both"/>
            </w:pPr>
          </w:p>
          <w:p w14:paraId="75AB3EC0" w14:textId="77777777" w:rsidR="000677F9" w:rsidRDefault="000677F9" w:rsidP="00F877DE">
            <w:pPr>
              <w:jc w:val="both"/>
            </w:pPr>
            <w:r>
              <w:t>Administracijos direktorė</w:t>
            </w:r>
          </w:p>
          <w:p w14:paraId="459334A6" w14:textId="77777777" w:rsidR="000677F9" w:rsidRPr="006D6198" w:rsidRDefault="000677F9" w:rsidP="00F877DE">
            <w:pPr>
              <w:jc w:val="both"/>
            </w:pPr>
            <w:r>
              <w:t>Jurga Bagamolovienė</w:t>
            </w:r>
          </w:p>
        </w:tc>
        <w:tc>
          <w:tcPr>
            <w:tcW w:w="4618" w:type="dxa"/>
            <w:shd w:val="clear" w:color="auto" w:fill="auto"/>
          </w:tcPr>
          <w:p w14:paraId="2D0FAF75" w14:textId="01BA573F" w:rsidR="00BD7B45" w:rsidRPr="006D6198" w:rsidRDefault="00BD7B45" w:rsidP="00F877DE">
            <w:pPr>
              <w:jc w:val="both"/>
            </w:pPr>
          </w:p>
        </w:tc>
      </w:tr>
    </w:tbl>
    <w:p w14:paraId="68FC573E" w14:textId="77777777" w:rsidR="009C7D5D" w:rsidRDefault="009C7D5D" w:rsidP="007F6146">
      <w:pPr>
        <w:jc w:val="center"/>
      </w:pPr>
    </w:p>
    <w:sectPr w:rsidR="009C7D5D" w:rsidSect="00117A6F">
      <w:headerReference w:type="even" r:id="rId7"/>
      <w:headerReference w:type="default" r:id="rId8"/>
      <w:pgSz w:w="11906" w:h="16838"/>
      <w:pgMar w:top="1119"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52EAD" w14:textId="77777777" w:rsidR="00D87AD8" w:rsidRDefault="00D87AD8">
      <w:r>
        <w:separator/>
      </w:r>
    </w:p>
  </w:endnote>
  <w:endnote w:type="continuationSeparator" w:id="0">
    <w:p w14:paraId="5EB5DC05" w14:textId="77777777" w:rsidR="00D87AD8" w:rsidRDefault="00D8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F0EE" w14:textId="77777777" w:rsidR="00D87AD8" w:rsidRDefault="00D87AD8">
      <w:r>
        <w:separator/>
      </w:r>
    </w:p>
  </w:footnote>
  <w:footnote w:type="continuationSeparator" w:id="0">
    <w:p w14:paraId="589CB953" w14:textId="77777777" w:rsidR="00D87AD8" w:rsidRDefault="00D8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2DFF" w14:textId="77777777" w:rsidR="00F10BA8" w:rsidRDefault="00000000" w:rsidP="009B5C7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47A431E" w14:textId="77777777" w:rsidR="00F10BA8" w:rsidRDefault="00F10B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A7A5" w14:textId="77777777" w:rsidR="00F10BA8" w:rsidRDefault="00000000">
    <w:pPr>
      <w:pStyle w:val="Antrats"/>
      <w:jc w:val="center"/>
    </w:pPr>
    <w:r>
      <w:fldChar w:fldCharType="begin"/>
    </w:r>
    <w:r>
      <w:instrText>PAGE   \* MERGEFORMAT</w:instrText>
    </w:r>
    <w:r>
      <w:fldChar w:fldCharType="separate"/>
    </w:r>
    <w:r>
      <w:rPr>
        <w:noProof/>
      </w:rPr>
      <w:t>7</w:t>
    </w:r>
    <w:r>
      <w:fldChar w:fldCharType="end"/>
    </w:r>
  </w:p>
  <w:p w14:paraId="1DE6332B" w14:textId="77777777" w:rsidR="00F10BA8" w:rsidRDefault="00F10BA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hyphenationZone w:val="396"/>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F9"/>
    <w:rsid w:val="000361B4"/>
    <w:rsid w:val="000677F9"/>
    <w:rsid w:val="000E538A"/>
    <w:rsid w:val="00117A6F"/>
    <w:rsid w:val="001B6FB5"/>
    <w:rsid w:val="00261895"/>
    <w:rsid w:val="002D7AFE"/>
    <w:rsid w:val="004364B2"/>
    <w:rsid w:val="004B3D62"/>
    <w:rsid w:val="00532166"/>
    <w:rsid w:val="00640AFB"/>
    <w:rsid w:val="006463D0"/>
    <w:rsid w:val="006501CF"/>
    <w:rsid w:val="006D44EE"/>
    <w:rsid w:val="006F6A1D"/>
    <w:rsid w:val="007F6146"/>
    <w:rsid w:val="0081789A"/>
    <w:rsid w:val="00900E03"/>
    <w:rsid w:val="009216D9"/>
    <w:rsid w:val="00931C3E"/>
    <w:rsid w:val="009B416A"/>
    <w:rsid w:val="009C7D5D"/>
    <w:rsid w:val="00B27024"/>
    <w:rsid w:val="00BD7B45"/>
    <w:rsid w:val="00C349FC"/>
    <w:rsid w:val="00CD525B"/>
    <w:rsid w:val="00D87AD8"/>
    <w:rsid w:val="00E3522F"/>
    <w:rsid w:val="00F10BA8"/>
    <w:rsid w:val="00F35CB4"/>
    <w:rsid w:val="00FF05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DC37"/>
  <w15:chartTrackingRefBased/>
  <w15:docId w15:val="{1FC35F3B-238A-427C-A41E-8E1FD4BD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77F9"/>
    <w:pPr>
      <w:spacing w:after="0" w:line="240" w:lineRule="auto"/>
    </w:pPr>
    <w:rPr>
      <w:rFonts w:eastAsia="Times New Roman" w:cs="Times New Roman"/>
      <w:kern w:val="0"/>
      <w:szCs w:val="24"/>
      <w14:ligatures w14:val="none"/>
    </w:rPr>
  </w:style>
  <w:style w:type="paragraph" w:styleId="Antrat6">
    <w:name w:val="heading 6"/>
    <w:basedOn w:val="prastasis"/>
    <w:next w:val="prastasis"/>
    <w:link w:val="Antrat6Diagrama"/>
    <w:qFormat/>
    <w:rsid w:val="000677F9"/>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rsid w:val="000677F9"/>
    <w:rPr>
      <w:rFonts w:eastAsia="Times New Roman" w:cs="Times New Roman"/>
      <w:b/>
      <w:bCs/>
      <w:kern w:val="0"/>
      <w:sz w:val="22"/>
      <w14:ligatures w14:val="none"/>
    </w:rPr>
  </w:style>
  <w:style w:type="character" w:styleId="Hipersaitas">
    <w:name w:val="Hyperlink"/>
    <w:rsid w:val="000677F9"/>
    <w:rPr>
      <w:color w:val="000000"/>
      <w:u w:val="single"/>
    </w:rPr>
  </w:style>
  <w:style w:type="paragraph" w:styleId="Antrats">
    <w:name w:val="header"/>
    <w:basedOn w:val="prastasis"/>
    <w:link w:val="AntratsDiagrama"/>
    <w:uiPriority w:val="99"/>
    <w:rsid w:val="000677F9"/>
    <w:pPr>
      <w:tabs>
        <w:tab w:val="center" w:pos="4819"/>
        <w:tab w:val="right" w:pos="9638"/>
      </w:tabs>
    </w:pPr>
  </w:style>
  <w:style w:type="character" w:customStyle="1" w:styleId="AntratsDiagrama">
    <w:name w:val="Antraštės Diagrama"/>
    <w:basedOn w:val="Numatytasispastraiposriftas"/>
    <w:link w:val="Antrats"/>
    <w:uiPriority w:val="99"/>
    <w:rsid w:val="000677F9"/>
    <w:rPr>
      <w:rFonts w:eastAsia="Times New Roman" w:cs="Times New Roman"/>
      <w:kern w:val="0"/>
      <w:szCs w:val="24"/>
      <w14:ligatures w14:val="none"/>
    </w:rPr>
  </w:style>
  <w:style w:type="character" w:styleId="Puslapionumeris">
    <w:name w:val="page number"/>
    <w:basedOn w:val="Numatytasispastraiposriftas"/>
    <w:rsid w:val="000677F9"/>
  </w:style>
  <w:style w:type="paragraph" w:styleId="prastasiniatinklio">
    <w:name w:val="Normal (Web)"/>
    <w:basedOn w:val="prastasis"/>
    <w:uiPriority w:val="99"/>
    <w:unhideWhenUsed/>
    <w:rsid w:val="000677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vivaldybe@birzai.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7177</Words>
  <Characters>4092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Kolomakiene</dc:creator>
  <cp:keywords/>
  <dc:description/>
  <cp:lastModifiedBy>Daina Kolomakiene</cp:lastModifiedBy>
  <cp:revision>4</cp:revision>
  <cp:lastPrinted>2024-04-10T05:38:00Z</cp:lastPrinted>
  <dcterms:created xsi:type="dcterms:W3CDTF">2024-12-05T07:07:00Z</dcterms:created>
  <dcterms:modified xsi:type="dcterms:W3CDTF">2024-12-05T09:43:00Z</dcterms:modified>
</cp:coreProperties>
</file>